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E803D" w14:textId="77777777" w:rsidR="001A5979" w:rsidRDefault="001A5979" w:rsidP="001A5979">
      <w:pPr>
        <w:jc w:val="center"/>
      </w:pPr>
      <w:r>
        <w:rPr>
          <w:noProof/>
        </w:rPr>
        <w:drawing>
          <wp:inline distT="0" distB="0" distL="0" distR="0" wp14:anchorId="57EEF1EC" wp14:editId="04C3C254">
            <wp:extent cx="2432854" cy="879649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&amp;M-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149" cy="87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A85CB" w14:textId="77777777" w:rsidR="001A5979" w:rsidRDefault="001A5979" w:rsidP="001A5979">
      <w:pPr>
        <w:jc w:val="center"/>
      </w:pPr>
    </w:p>
    <w:p w14:paraId="280B8A39" w14:textId="77777777" w:rsidR="001A5979" w:rsidRDefault="001A5979" w:rsidP="001A5979">
      <w:pPr>
        <w:jc w:val="center"/>
      </w:pPr>
    </w:p>
    <w:p w14:paraId="5DC27F80" w14:textId="6D258821" w:rsidR="002A61C0" w:rsidRPr="006A55C8" w:rsidRDefault="001A5979" w:rsidP="00D656BC">
      <w:pPr>
        <w:jc w:val="center"/>
        <w:rPr>
          <w:rFonts w:ascii="Garamond" w:hAnsi="Garamond"/>
          <w:b/>
          <w:color w:val="31849B" w:themeColor="accent5" w:themeShade="BF"/>
        </w:rPr>
      </w:pPr>
      <w:r w:rsidRPr="006A55C8">
        <w:rPr>
          <w:rFonts w:ascii="Garamond" w:hAnsi="Garamond"/>
          <w:b/>
          <w:color w:val="31849B" w:themeColor="accent5" w:themeShade="BF"/>
        </w:rPr>
        <w:t>ENNEAGRAMME</w:t>
      </w:r>
      <w:r w:rsidR="00D656BC" w:rsidRPr="006A55C8">
        <w:rPr>
          <w:rFonts w:ascii="Garamond" w:hAnsi="Garamond"/>
          <w:b/>
          <w:color w:val="31849B" w:themeColor="accent5" w:themeShade="BF"/>
        </w:rPr>
        <w:t xml:space="preserve"> : </w:t>
      </w:r>
      <w:r w:rsidRPr="006A55C8">
        <w:rPr>
          <w:rFonts w:ascii="Garamond" w:hAnsi="Garamond"/>
          <w:b/>
          <w:color w:val="31849B" w:themeColor="accent5" w:themeShade="BF"/>
        </w:rPr>
        <w:t xml:space="preserve">STAGE D’APPROFONDISSEMENT </w:t>
      </w:r>
    </w:p>
    <w:p w14:paraId="53E45997" w14:textId="7A4DDC94" w:rsidR="00D656BC" w:rsidRPr="006A55C8" w:rsidRDefault="00D656BC" w:rsidP="00D656BC">
      <w:pPr>
        <w:jc w:val="center"/>
        <w:rPr>
          <w:rFonts w:ascii="Garamond" w:hAnsi="Garamond"/>
          <w:b/>
          <w:color w:val="31849B" w:themeColor="accent5" w:themeShade="BF"/>
        </w:rPr>
      </w:pPr>
      <w:r w:rsidRPr="006A55C8">
        <w:rPr>
          <w:rFonts w:ascii="Garamond" w:hAnsi="Garamond"/>
          <w:b/>
          <w:color w:val="31849B" w:themeColor="accent5" w:themeShade="BF"/>
        </w:rPr>
        <w:t>ENNAGRAMME ET CONFLIT</w:t>
      </w:r>
    </w:p>
    <w:p w14:paraId="09A246B1" w14:textId="77777777" w:rsidR="002A61C0" w:rsidRPr="006A55C8" w:rsidRDefault="002A61C0" w:rsidP="001A5979">
      <w:pPr>
        <w:jc w:val="center"/>
        <w:rPr>
          <w:rFonts w:ascii="Garamond" w:hAnsi="Garamond"/>
          <w:b/>
          <w:color w:val="31849B" w:themeColor="accent5" w:themeShade="BF"/>
        </w:rPr>
      </w:pPr>
    </w:p>
    <w:p w14:paraId="6375C946" w14:textId="77777777" w:rsidR="0053128D" w:rsidRPr="006A55C8" w:rsidRDefault="0053128D" w:rsidP="00214CDF">
      <w:pPr>
        <w:rPr>
          <w:rFonts w:ascii="Garamond" w:hAnsi="Garamond"/>
          <w:color w:val="31849B" w:themeColor="accent5" w:themeShade="BF"/>
        </w:rPr>
      </w:pPr>
      <w:bookmarkStart w:id="0" w:name="_GoBack"/>
      <w:bookmarkEnd w:id="0"/>
    </w:p>
    <w:p w14:paraId="38B7664F" w14:textId="77777777" w:rsidR="0053128D" w:rsidRPr="00D656BC" w:rsidRDefault="0053128D" w:rsidP="001A5979">
      <w:pPr>
        <w:jc w:val="center"/>
        <w:rPr>
          <w:rFonts w:ascii="Garamond" w:hAnsi="Garamond"/>
        </w:rPr>
      </w:pPr>
    </w:p>
    <w:p w14:paraId="6EDCC368" w14:textId="77777777" w:rsidR="0053128D" w:rsidRPr="00D656BC" w:rsidRDefault="0053128D" w:rsidP="001A5979">
      <w:pPr>
        <w:jc w:val="center"/>
        <w:rPr>
          <w:rFonts w:ascii="Garamond" w:hAnsi="Garamond"/>
        </w:rPr>
      </w:pPr>
    </w:p>
    <w:p w14:paraId="26415D66" w14:textId="77777777" w:rsidR="0053128D" w:rsidRPr="001D08D1" w:rsidRDefault="0053128D" w:rsidP="0053128D">
      <w:pPr>
        <w:rPr>
          <w:rFonts w:ascii="Garamond" w:hAnsi="Garamond"/>
          <w:b/>
          <w:sz w:val="22"/>
          <w:szCs w:val="22"/>
        </w:rPr>
      </w:pPr>
      <w:r w:rsidRPr="001D08D1">
        <w:rPr>
          <w:rFonts w:ascii="Garamond" w:hAnsi="Garamond"/>
          <w:b/>
          <w:sz w:val="22"/>
          <w:szCs w:val="22"/>
        </w:rPr>
        <w:t>OBJECTIFS</w:t>
      </w:r>
      <w:r w:rsidRPr="001D08D1">
        <w:rPr>
          <w:rFonts w:ascii="Garamond" w:hAnsi="Garamond"/>
          <w:sz w:val="22"/>
          <w:szCs w:val="22"/>
        </w:rPr>
        <w:t> :</w:t>
      </w:r>
    </w:p>
    <w:p w14:paraId="34A8EC32" w14:textId="77777777" w:rsidR="0053128D" w:rsidRPr="001D08D1" w:rsidRDefault="0053128D" w:rsidP="0053128D">
      <w:pPr>
        <w:rPr>
          <w:rFonts w:ascii="Garamond" w:hAnsi="Garamond"/>
          <w:sz w:val="22"/>
          <w:szCs w:val="22"/>
        </w:rPr>
      </w:pPr>
    </w:p>
    <w:p w14:paraId="26B01B97" w14:textId="0C231932" w:rsidR="00D656BC" w:rsidRPr="001D08D1" w:rsidRDefault="002A3710" w:rsidP="00D656BC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Réviser et a</w:t>
      </w:r>
      <w:r w:rsidR="00D656BC" w:rsidRPr="001D08D1">
        <w:rPr>
          <w:rFonts w:ascii="Garamond" w:hAnsi="Garamond"/>
          <w:sz w:val="22"/>
          <w:szCs w:val="22"/>
        </w:rPr>
        <w:t>pprofondir l</w:t>
      </w:r>
      <w:r w:rsidR="0053128D" w:rsidRPr="001D08D1">
        <w:rPr>
          <w:rFonts w:ascii="Garamond" w:hAnsi="Garamond"/>
          <w:sz w:val="22"/>
          <w:szCs w:val="22"/>
        </w:rPr>
        <w:t xml:space="preserve">a connaissance </w:t>
      </w:r>
      <w:r w:rsidR="00D656BC" w:rsidRPr="001D08D1">
        <w:rPr>
          <w:rFonts w:ascii="Garamond" w:hAnsi="Garamond"/>
          <w:sz w:val="22"/>
          <w:szCs w:val="22"/>
        </w:rPr>
        <w:t>des types de l’Ennéagramme</w:t>
      </w:r>
    </w:p>
    <w:p w14:paraId="05FDD474" w14:textId="54284AA5" w:rsidR="00D656BC" w:rsidRPr="001D08D1" w:rsidRDefault="00D656BC" w:rsidP="00D656BC">
      <w:pPr>
        <w:pStyle w:val="Paragraphedeliste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Acquérir, à pa</w:t>
      </w:r>
      <w:r w:rsidR="002A3710" w:rsidRPr="001D08D1">
        <w:rPr>
          <w:rFonts w:ascii="Garamond" w:hAnsi="Garamond"/>
          <w:sz w:val="22"/>
          <w:szCs w:val="22"/>
        </w:rPr>
        <w:t>rtir des spécificités de chaque type</w:t>
      </w:r>
      <w:r w:rsidRPr="001D08D1">
        <w:rPr>
          <w:rFonts w:ascii="Garamond" w:hAnsi="Garamond"/>
          <w:sz w:val="22"/>
          <w:szCs w:val="22"/>
        </w:rPr>
        <w:t>, des repères pour décrypter, prévoir et/ou traverser les situations de conflit</w:t>
      </w:r>
    </w:p>
    <w:p w14:paraId="16927C3D" w14:textId="75CC2215" w:rsidR="0053128D" w:rsidRPr="001D08D1" w:rsidRDefault="00D656BC" w:rsidP="00D656BC">
      <w:pPr>
        <w:pStyle w:val="Paragraphedeliste"/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 xml:space="preserve">  </w:t>
      </w:r>
    </w:p>
    <w:p w14:paraId="16C96522" w14:textId="77777777" w:rsidR="0053128D" w:rsidRPr="001D08D1" w:rsidRDefault="0053128D" w:rsidP="0053128D">
      <w:pPr>
        <w:rPr>
          <w:rFonts w:ascii="Garamond" w:hAnsi="Garamond"/>
          <w:sz w:val="22"/>
          <w:szCs w:val="22"/>
        </w:rPr>
      </w:pPr>
    </w:p>
    <w:p w14:paraId="47398FA2" w14:textId="77777777" w:rsidR="0053128D" w:rsidRPr="001D08D1" w:rsidRDefault="0053128D" w:rsidP="0053128D">
      <w:pPr>
        <w:rPr>
          <w:rFonts w:ascii="Garamond" w:hAnsi="Garamond"/>
          <w:sz w:val="22"/>
          <w:szCs w:val="22"/>
        </w:rPr>
      </w:pPr>
    </w:p>
    <w:p w14:paraId="0648223B" w14:textId="77777777" w:rsidR="001A5979" w:rsidRPr="001D08D1" w:rsidRDefault="001A5979" w:rsidP="0053128D">
      <w:pPr>
        <w:rPr>
          <w:rFonts w:ascii="Garamond" w:hAnsi="Garamond"/>
          <w:b/>
          <w:sz w:val="22"/>
          <w:szCs w:val="22"/>
        </w:rPr>
      </w:pPr>
      <w:r w:rsidRPr="001D08D1">
        <w:rPr>
          <w:rFonts w:ascii="Garamond" w:hAnsi="Garamond"/>
          <w:b/>
          <w:sz w:val="22"/>
          <w:szCs w:val="22"/>
        </w:rPr>
        <w:t>PROGRAMME</w:t>
      </w:r>
      <w:r w:rsidR="0053128D" w:rsidRPr="001D08D1">
        <w:rPr>
          <w:rFonts w:ascii="Garamond" w:hAnsi="Garamond"/>
          <w:b/>
          <w:sz w:val="22"/>
          <w:szCs w:val="22"/>
        </w:rPr>
        <w:t> </w:t>
      </w:r>
      <w:r w:rsidR="0053128D" w:rsidRPr="001D08D1">
        <w:rPr>
          <w:rFonts w:ascii="Garamond" w:hAnsi="Garamond"/>
          <w:sz w:val="22"/>
          <w:szCs w:val="22"/>
        </w:rPr>
        <w:t>:</w:t>
      </w:r>
    </w:p>
    <w:p w14:paraId="1855E5E3" w14:textId="77777777" w:rsidR="001A5979" w:rsidRPr="001D08D1" w:rsidRDefault="001A5979" w:rsidP="001A5979">
      <w:pPr>
        <w:jc w:val="center"/>
        <w:rPr>
          <w:rFonts w:ascii="Garamond" w:hAnsi="Garamond"/>
          <w:sz w:val="22"/>
          <w:szCs w:val="22"/>
        </w:rPr>
      </w:pPr>
    </w:p>
    <w:p w14:paraId="3260EEA3" w14:textId="77777777" w:rsidR="001A5979" w:rsidRPr="001D08D1" w:rsidRDefault="001A5979" w:rsidP="001A5979">
      <w:pPr>
        <w:rPr>
          <w:rFonts w:ascii="Garamond" w:hAnsi="Garamond"/>
          <w:sz w:val="22"/>
          <w:szCs w:val="22"/>
        </w:rPr>
      </w:pPr>
    </w:p>
    <w:p w14:paraId="4BAFAD65" w14:textId="5E7CE72C" w:rsidR="001A5979" w:rsidRPr="001D08D1" w:rsidRDefault="001A5979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1/ Approfondissement de l’étude des trois centres d’intelligence : utilité de chac</w:t>
      </w:r>
      <w:r w:rsidR="002A61C0" w:rsidRPr="001D08D1">
        <w:rPr>
          <w:rFonts w:ascii="Garamond" w:hAnsi="Garamond"/>
          <w:sz w:val="22"/>
          <w:szCs w:val="22"/>
        </w:rPr>
        <w:t>un, mode de relation entre eux</w:t>
      </w:r>
      <w:r w:rsidRPr="001D08D1">
        <w:rPr>
          <w:rFonts w:ascii="Garamond" w:hAnsi="Garamond"/>
          <w:sz w:val="22"/>
          <w:szCs w:val="22"/>
        </w:rPr>
        <w:t>, participation à la g</w:t>
      </w:r>
      <w:r w:rsidR="009666FD" w:rsidRPr="001D08D1">
        <w:rPr>
          <w:rFonts w:ascii="Garamond" w:hAnsi="Garamond"/>
          <w:sz w:val="22"/>
          <w:szCs w:val="22"/>
        </w:rPr>
        <w:t>enèse de la définition des types</w:t>
      </w:r>
      <w:r w:rsidRPr="001D08D1">
        <w:rPr>
          <w:rFonts w:ascii="Garamond" w:hAnsi="Garamond"/>
          <w:sz w:val="22"/>
          <w:szCs w:val="22"/>
        </w:rPr>
        <w:t xml:space="preserve"> et des automatismes.</w:t>
      </w:r>
    </w:p>
    <w:p w14:paraId="6A4214A7" w14:textId="77777777" w:rsidR="009666FD" w:rsidRPr="001D08D1" w:rsidRDefault="009666FD" w:rsidP="001A5979">
      <w:pPr>
        <w:rPr>
          <w:rFonts w:ascii="Garamond" w:hAnsi="Garamond"/>
          <w:sz w:val="22"/>
          <w:szCs w:val="22"/>
        </w:rPr>
      </w:pPr>
    </w:p>
    <w:p w14:paraId="041F2842" w14:textId="60FADF7A" w:rsidR="009666FD" w:rsidRPr="001D08D1" w:rsidRDefault="009666FD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2/ Rappel et approfondissement des automatismes qui constituent notre personnalité : peur, croyances, compulsion, stratégie d’évitement, fixation mentale, passion, quête.</w:t>
      </w:r>
    </w:p>
    <w:p w14:paraId="2D9BCECA" w14:textId="77777777" w:rsidR="001A5979" w:rsidRPr="001D08D1" w:rsidRDefault="001A5979" w:rsidP="001A5979">
      <w:pPr>
        <w:rPr>
          <w:rFonts w:ascii="Garamond" w:hAnsi="Garamond"/>
          <w:sz w:val="22"/>
          <w:szCs w:val="22"/>
        </w:rPr>
      </w:pPr>
    </w:p>
    <w:p w14:paraId="29276A51" w14:textId="1879A018" w:rsidR="009666FD" w:rsidRPr="001D08D1" w:rsidRDefault="009666FD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3</w:t>
      </w:r>
      <w:r w:rsidR="001A5979" w:rsidRPr="001D08D1">
        <w:rPr>
          <w:rFonts w:ascii="Garamond" w:hAnsi="Garamond"/>
          <w:sz w:val="22"/>
          <w:szCs w:val="22"/>
        </w:rPr>
        <w:t xml:space="preserve">/ Etude </w:t>
      </w:r>
      <w:r w:rsidRPr="001D08D1">
        <w:rPr>
          <w:rFonts w:ascii="Garamond" w:hAnsi="Garamond"/>
          <w:sz w:val="22"/>
          <w:szCs w:val="22"/>
        </w:rPr>
        <w:t xml:space="preserve">des flèches : Lors du module 1, les flèches ont été présentées comme des « sous personnalités » et des ressources pour fluidifier </w:t>
      </w:r>
      <w:r w:rsidR="001D08D1" w:rsidRPr="001D08D1">
        <w:rPr>
          <w:rFonts w:ascii="Garamond" w:hAnsi="Garamond"/>
          <w:sz w:val="22"/>
          <w:szCs w:val="22"/>
        </w:rPr>
        <w:t>nos comportements</w:t>
      </w:r>
      <w:r w:rsidRPr="001D08D1">
        <w:rPr>
          <w:rFonts w:ascii="Garamond" w:hAnsi="Garamond"/>
          <w:sz w:val="22"/>
          <w:szCs w:val="22"/>
        </w:rPr>
        <w:t>.</w:t>
      </w:r>
    </w:p>
    <w:p w14:paraId="658B627E" w14:textId="3E4EA761" w:rsidR="001A5979" w:rsidRPr="001D08D1" w:rsidRDefault="009666FD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Cette fois ci nous ve</w:t>
      </w:r>
      <w:r w:rsidR="001D08D1" w:rsidRPr="001D08D1">
        <w:rPr>
          <w:rFonts w:ascii="Garamond" w:hAnsi="Garamond"/>
          <w:sz w:val="22"/>
          <w:szCs w:val="22"/>
        </w:rPr>
        <w:t>rrons qu’elles renseignent égal</w:t>
      </w:r>
      <w:r w:rsidR="006A55C8">
        <w:rPr>
          <w:rFonts w:ascii="Garamond" w:hAnsi="Garamond"/>
          <w:sz w:val="22"/>
          <w:szCs w:val="22"/>
        </w:rPr>
        <w:t>e</w:t>
      </w:r>
      <w:r w:rsidR="001D08D1" w:rsidRPr="001D08D1">
        <w:rPr>
          <w:rFonts w:ascii="Garamond" w:hAnsi="Garamond"/>
          <w:sz w:val="22"/>
          <w:szCs w:val="22"/>
        </w:rPr>
        <w:t>ment</w:t>
      </w:r>
      <w:r w:rsidRPr="001D08D1">
        <w:rPr>
          <w:rFonts w:ascii="Garamond" w:hAnsi="Garamond"/>
          <w:sz w:val="22"/>
          <w:szCs w:val="22"/>
        </w:rPr>
        <w:t xml:space="preserve"> sur les comportement</w:t>
      </w:r>
      <w:r w:rsidR="001D08D1" w:rsidRPr="001D08D1">
        <w:rPr>
          <w:rFonts w:ascii="Garamond" w:hAnsi="Garamond"/>
          <w:sz w:val="22"/>
          <w:szCs w:val="22"/>
        </w:rPr>
        <w:t>s</w:t>
      </w:r>
      <w:r w:rsidRPr="001D08D1">
        <w:rPr>
          <w:rFonts w:ascii="Garamond" w:hAnsi="Garamond"/>
          <w:sz w:val="22"/>
          <w:szCs w:val="22"/>
        </w:rPr>
        <w:t xml:space="preserve"> adoptés par les types en situation de stress, c’st-à-dire lorsque la peur principale est challengée. </w:t>
      </w:r>
    </w:p>
    <w:p w14:paraId="6FEBA384" w14:textId="03554AAF" w:rsidR="001A5979" w:rsidRPr="001D08D1" w:rsidRDefault="001A5979" w:rsidP="001A5979">
      <w:pPr>
        <w:rPr>
          <w:rFonts w:ascii="Garamond" w:hAnsi="Garamond"/>
          <w:sz w:val="22"/>
          <w:szCs w:val="22"/>
        </w:rPr>
      </w:pPr>
    </w:p>
    <w:p w14:paraId="3DECFE55" w14:textId="77777777" w:rsidR="0043061E" w:rsidRPr="001D08D1" w:rsidRDefault="001A5979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 xml:space="preserve">4/ </w:t>
      </w:r>
      <w:r w:rsidR="009E290D" w:rsidRPr="001D08D1">
        <w:rPr>
          <w:rFonts w:ascii="Garamond" w:hAnsi="Garamond"/>
          <w:sz w:val="22"/>
          <w:szCs w:val="22"/>
        </w:rPr>
        <w:t>Emotions et mécanismes de défense : présentation des mécanismes de défense de ch</w:t>
      </w:r>
      <w:r w:rsidR="0053128D" w:rsidRPr="001D08D1">
        <w:rPr>
          <w:rFonts w:ascii="Garamond" w:hAnsi="Garamond"/>
          <w:sz w:val="22"/>
          <w:szCs w:val="22"/>
        </w:rPr>
        <w:t>aque base et du jeu multiple des émotions</w:t>
      </w:r>
    </w:p>
    <w:p w14:paraId="47E5D4A0" w14:textId="77777777" w:rsidR="0053128D" w:rsidRPr="001D08D1" w:rsidRDefault="0053128D" w:rsidP="001A5979">
      <w:pPr>
        <w:rPr>
          <w:rFonts w:ascii="Garamond" w:hAnsi="Garamond"/>
          <w:sz w:val="22"/>
          <w:szCs w:val="22"/>
        </w:rPr>
      </w:pPr>
    </w:p>
    <w:p w14:paraId="418BB5A3" w14:textId="77777777" w:rsidR="009666FD" w:rsidRPr="001D08D1" w:rsidRDefault="00D656BC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 xml:space="preserve">5/ Application des acquis précédents </w:t>
      </w:r>
      <w:r w:rsidR="00702F9C" w:rsidRPr="001D08D1">
        <w:rPr>
          <w:rFonts w:ascii="Garamond" w:hAnsi="Garamond"/>
          <w:sz w:val="22"/>
          <w:szCs w:val="22"/>
        </w:rPr>
        <w:t xml:space="preserve">à la genèse, la mécanique et l’enfermement dans les conflits : </w:t>
      </w:r>
    </w:p>
    <w:p w14:paraId="5D537AEC" w14:textId="77777777" w:rsidR="009666FD" w:rsidRPr="001D08D1" w:rsidRDefault="00702F9C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 xml:space="preserve">Les conflits apparaissent lorsqu’un élément extérieur est perçu comme mettant en danger la structure et la solidité de la personnalité. </w:t>
      </w:r>
    </w:p>
    <w:p w14:paraId="3949DA2B" w14:textId="5F604BCA" w:rsidR="009666FD" w:rsidRPr="001D08D1" w:rsidRDefault="009666FD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Après un rappel de la mécanique des conflits, n</w:t>
      </w:r>
      <w:r w:rsidR="00702F9C" w:rsidRPr="001D08D1">
        <w:rPr>
          <w:rFonts w:ascii="Garamond" w:hAnsi="Garamond"/>
          <w:sz w:val="22"/>
          <w:szCs w:val="22"/>
        </w:rPr>
        <w:t xml:space="preserve">ous étudierons donc de quelle manière les « boutons déclencheurs » </w:t>
      </w:r>
      <w:r w:rsidRPr="001D08D1">
        <w:rPr>
          <w:rFonts w:ascii="Garamond" w:hAnsi="Garamond"/>
          <w:sz w:val="22"/>
          <w:szCs w:val="22"/>
        </w:rPr>
        <w:t xml:space="preserve">(c’est à dire les comportements, paroles, évènements… qui font croire que la structure est en danger) </w:t>
      </w:r>
      <w:r w:rsidR="00702F9C" w:rsidRPr="001D08D1">
        <w:rPr>
          <w:rFonts w:ascii="Garamond" w:hAnsi="Garamond"/>
          <w:sz w:val="22"/>
          <w:szCs w:val="22"/>
        </w:rPr>
        <w:t>de chaque type, les croyances, les mécanismes de défense et les comportements en situation de stress participent</w:t>
      </w:r>
      <w:r w:rsidRPr="001D08D1">
        <w:rPr>
          <w:rFonts w:ascii="Garamond" w:hAnsi="Garamond"/>
          <w:sz w:val="22"/>
          <w:szCs w:val="22"/>
        </w:rPr>
        <w:t xml:space="preserve"> au conflit.</w:t>
      </w:r>
    </w:p>
    <w:p w14:paraId="7990754B" w14:textId="6CD51665" w:rsidR="0053128D" w:rsidRPr="001D08D1" w:rsidRDefault="009666FD" w:rsidP="009666FD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Notre étude portera sur chacun des types pris individuellement et sur les types en interaction.</w:t>
      </w:r>
      <w:r w:rsidR="00702F9C" w:rsidRPr="001D08D1">
        <w:rPr>
          <w:rFonts w:ascii="Garamond" w:hAnsi="Garamond"/>
          <w:sz w:val="22"/>
          <w:szCs w:val="22"/>
        </w:rPr>
        <w:t xml:space="preserve"> </w:t>
      </w:r>
      <w:r w:rsidRPr="001D08D1">
        <w:rPr>
          <w:rFonts w:ascii="Garamond" w:hAnsi="Garamond"/>
          <w:sz w:val="22"/>
          <w:szCs w:val="22"/>
        </w:rPr>
        <w:t xml:space="preserve"> </w:t>
      </w:r>
    </w:p>
    <w:p w14:paraId="45C91B59" w14:textId="77777777" w:rsidR="009666FD" w:rsidRPr="001D08D1" w:rsidRDefault="009666FD" w:rsidP="009666FD">
      <w:pPr>
        <w:rPr>
          <w:rFonts w:ascii="Garamond" w:hAnsi="Garamond"/>
          <w:sz w:val="22"/>
          <w:szCs w:val="22"/>
        </w:rPr>
      </w:pPr>
    </w:p>
    <w:p w14:paraId="4F2B0C82" w14:textId="77777777" w:rsidR="009666FD" w:rsidRDefault="009666FD" w:rsidP="009666FD">
      <w:pPr>
        <w:rPr>
          <w:rFonts w:ascii="Garamond" w:hAnsi="Garamond"/>
          <w:sz w:val="22"/>
          <w:szCs w:val="22"/>
        </w:rPr>
      </w:pPr>
    </w:p>
    <w:p w14:paraId="58D6AA43" w14:textId="77777777" w:rsidR="006A55C8" w:rsidRPr="001D08D1" w:rsidRDefault="006A55C8" w:rsidP="009666FD">
      <w:pPr>
        <w:rPr>
          <w:rFonts w:ascii="Garamond" w:hAnsi="Garamond"/>
          <w:sz w:val="22"/>
          <w:szCs w:val="22"/>
        </w:rPr>
      </w:pPr>
    </w:p>
    <w:p w14:paraId="35F0AD11" w14:textId="3BF470F0" w:rsidR="0053128D" w:rsidRPr="001D08D1" w:rsidRDefault="0053128D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b/>
          <w:sz w:val="22"/>
          <w:szCs w:val="22"/>
        </w:rPr>
        <w:t>MOYENS PEDAGOGIQUES </w:t>
      </w:r>
    </w:p>
    <w:p w14:paraId="6D2C3186" w14:textId="77777777" w:rsidR="0043061E" w:rsidRPr="001D08D1" w:rsidRDefault="0043061E" w:rsidP="001A5979">
      <w:pPr>
        <w:rPr>
          <w:rFonts w:ascii="Garamond" w:hAnsi="Garamond"/>
          <w:sz w:val="22"/>
          <w:szCs w:val="22"/>
        </w:rPr>
      </w:pPr>
    </w:p>
    <w:p w14:paraId="5374E567" w14:textId="75DDC417" w:rsidR="001A5979" w:rsidRPr="001D08D1" w:rsidRDefault="0053128D" w:rsidP="001A5979">
      <w:pPr>
        <w:rPr>
          <w:rFonts w:ascii="Garamond" w:hAnsi="Garamond"/>
          <w:sz w:val="22"/>
          <w:szCs w:val="22"/>
        </w:rPr>
      </w:pPr>
      <w:r w:rsidRPr="001D08D1">
        <w:rPr>
          <w:rFonts w:ascii="Garamond" w:hAnsi="Garamond"/>
          <w:sz w:val="22"/>
          <w:szCs w:val="22"/>
        </w:rPr>
        <w:t>Exposés, e</w:t>
      </w:r>
      <w:r w:rsidR="001A5979" w:rsidRPr="001D08D1">
        <w:rPr>
          <w:rFonts w:ascii="Garamond" w:hAnsi="Garamond"/>
          <w:sz w:val="22"/>
          <w:szCs w:val="22"/>
        </w:rPr>
        <w:t>xercices pratiques</w:t>
      </w:r>
      <w:r w:rsidRPr="001D08D1">
        <w:rPr>
          <w:rFonts w:ascii="Garamond" w:hAnsi="Garamond"/>
          <w:sz w:val="22"/>
          <w:szCs w:val="22"/>
        </w:rPr>
        <w:t xml:space="preserve"> en binômes</w:t>
      </w:r>
      <w:r w:rsidR="001A5979" w:rsidRPr="001D08D1">
        <w:rPr>
          <w:rFonts w:ascii="Garamond" w:hAnsi="Garamond"/>
          <w:sz w:val="22"/>
          <w:szCs w:val="22"/>
        </w:rPr>
        <w:t xml:space="preserve">, mises en situation, </w:t>
      </w:r>
      <w:r w:rsidR="006A55C8">
        <w:rPr>
          <w:rFonts w:ascii="Garamond" w:hAnsi="Garamond"/>
          <w:sz w:val="22"/>
          <w:szCs w:val="22"/>
        </w:rPr>
        <w:t>exercices d’</w:t>
      </w:r>
      <w:r w:rsidR="001A5979" w:rsidRPr="001D08D1">
        <w:rPr>
          <w:rFonts w:ascii="Garamond" w:hAnsi="Garamond"/>
          <w:sz w:val="22"/>
          <w:szCs w:val="22"/>
        </w:rPr>
        <w:t>explo</w:t>
      </w:r>
      <w:r w:rsidR="006A55C8">
        <w:rPr>
          <w:rFonts w:ascii="Garamond" w:hAnsi="Garamond"/>
          <w:sz w:val="22"/>
          <w:szCs w:val="22"/>
        </w:rPr>
        <w:t xml:space="preserve">ration intérieure </w:t>
      </w:r>
      <w:r w:rsidRPr="001D08D1">
        <w:rPr>
          <w:rFonts w:ascii="Garamond" w:hAnsi="Garamond"/>
          <w:sz w:val="22"/>
          <w:szCs w:val="22"/>
        </w:rPr>
        <w:t xml:space="preserve"> </w:t>
      </w:r>
    </w:p>
    <w:p w14:paraId="469186D8" w14:textId="77777777" w:rsidR="00504CD3" w:rsidRPr="001D08D1" w:rsidRDefault="00504CD3">
      <w:pPr>
        <w:rPr>
          <w:rFonts w:ascii="Garamond" w:hAnsi="Garamond"/>
          <w:sz w:val="22"/>
          <w:szCs w:val="22"/>
        </w:rPr>
      </w:pPr>
    </w:p>
    <w:sectPr w:rsidR="00504CD3" w:rsidRPr="001D08D1" w:rsidSect="00DE3E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07"/>
    <w:multiLevelType w:val="hybridMultilevel"/>
    <w:tmpl w:val="A4E6B0D8"/>
    <w:lvl w:ilvl="0" w:tplc="10A62B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79"/>
    <w:rsid w:val="001A5979"/>
    <w:rsid w:val="001D08D1"/>
    <w:rsid w:val="00214CDF"/>
    <w:rsid w:val="002A3710"/>
    <w:rsid w:val="002A61C0"/>
    <w:rsid w:val="002C58B1"/>
    <w:rsid w:val="0043061E"/>
    <w:rsid w:val="004404E8"/>
    <w:rsid w:val="00504CD3"/>
    <w:rsid w:val="0053128D"/>
    <w:rsid w:val="006A55C8"/>
    <w:rsid w:val="00702F9C"/>
    <w:rsid w:val="009666FD"/>
    <w:rsid w:val="009E290D"/>
    <w:rsid w:val="00BA2887"/>
    <w:rsid w:val="00D656BC"/>
    <w:rsid w:val="00DE3E12"/>
    <w:rsid w:val="00E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70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7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7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1632</Characters>
  <Application>Microsoft Macintosh Word</Application>
  <DocSecurity>0</DocSecurity>
  <Lines>13</Lines>
  <Paragraphs>3</Paragraphs>
  <ScaleCrop>false</ScaleCrop>
  <Company>Ressource et Médiations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Melikov</dc:creator>
  <cp:keywords/>
  <dc:description/>
  <cp:lastModifiedBy>Hélène Melikov</cp:lastModifiedBy>
  <cp:revision>5</cp:revision>
  <cp:lastPrinted>2018-06-11T14:18:00Z</cp:lastPrinted>
  <dcterms:created xsi:type="dcterms:W3CDTF">2019-02-13T18:07:00Z</dcterms:created>
  <dcterms:modified xsi:type="dcterms:W3CDTF">2020-02-05T14:16:00Z</dcterms:modified>
</cp:coreProperties>
</file>